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9BBC9" w14:textId="77777777" w:rsidR="006B75D5" w:rsidRPr="00103E85" w:rsidRDefault="008306C8" w:rsidP="00103E85">
      <w:pPr>
        <w:pStyle w:val="CM18"/>
        <w:spacing w:after="240"/>
        <w:jc w:val="center"/>
        <w:rPr>
          <w:sz w:val="28"/>
        </w:rPr>
      </w:pPr>
      <w:r w:rsidRPr="00103E85">
        <w:rPr>
          <w:b/>
          <w:bCs/>
          <w:sz w:val="28"/>
        </w:rPr>
        <w:t>Export Control Committee</w:t>
      </w:r>
      <w:r w:rsidR="006B75D5" w:rsidRPr="00103E85">
        <w:rPr>
          <w:b/>
          <w:bCs/>
          <w:sz w:val="28"/>
        </w:rPr>
        <w:t xml:space="preserve"> Procedural Guidelines </w:t>
      </w:r>
    </w:p>
    <w:p w14:paraId="4305CA30" w14:textId="11C9F194" w:rsidR="0033387E" w:rsidRPr="00721A8D" w:rsidRDefault="0033387E" w:rsidP="00721A8D">
      <w:pPr>
        <w:pStyle w:val="CM18"/>
        <w:numPr>
          <w:ilvl w:val="0"/>
          <w:numId w:val="5"/>
        </w:numPr>
        <w:spacing w:after="120"/>
        <w:ind w:left="360" w:hanging="360"/>
        <w:jc w:val="both"/>
        <w:rPr>
          <w:b/>
          <w:bCs/>
        </w:rPr>
      </w:pPr>
      <w:r w:rsidRPr="00721A8D">
        <w:rPr>
          <w:b/>
          <w:bCs/>
        </w:rPr>
        <w:t>Introduction.</w:t>
      </w:r>
      <w:r w:rsidR="00A50457" w:rsidRPr="00721A8D">
        <w:rPr>
          <w:b/>
          <w:bCs/>
        </w:rPr>
        <w:t xml:space="preserve"> </w:t>
      </w:r>
      <w:r w:rsidRPr="00721A8D">
        <w:rPr>
          <w:bCs/>
        </w:rPr>
        <w:t>It is the policy of West Virginia University (“WVU”) that all WVU Personnel, including</w:t>
      </w:r>
      <w:r w:rsidR="00103E85">
        <w:rPr>
          <w:bCs/>
        </w:rPr>
        <w:t>, but not limited to,</w:t>
      </w:r>
      <w:r w:rsidRPr="00721A8D">
        <w:rPr>
          <w:b/>
          <w:bCs/>
        </w:rPr>
        <w:t xml:space="preserve"> </w:t>
      </w:r>
      <w:r w:rsidRPr="00721A8D">
        <w:rPr>
          <w:bCs/>
        </w:rPr>
        <w:t>faculty, staff, visiting scholars, postdoctoral fellows</w:t>
      </w:r>
      <w:r w:rsidR="00103E85">
        <w:rPr>
          <w:bCs/>
        </w:rPr>
        <w:t xml:space="preserve"> and associates</w:t>
      </w:r>
      <w:r w:rsidRPr="00721A8D">
        <w:rPr>
          <w:bCs/>
        </w:rPr>
        <w:t>, graduate and undergraduate students, volunteers, and all other persons retained by</w:t>
      </w:r>
      <w:r w:rsidR="00103E85">
        <w:rPr>
          <w:bCs/>
        </w:rPr>
        <w:t>, affiliated with,</w:t>
      </w:r>
      <w:r w:rsidRPr="00721A8D">
        <w:rPr>
          <w:bCs/>
        </w:rPr>
        <w:t xml:space="preserve"> or working at or for the University, fully comply with all U.S. laws and regulations while teaching, conducting research, or providing service activities at or on behalf of the University, wherever located.</w:t>
      </w:r>
    </w:p>
    <w:p w14:paraId="502A67CE" w14:textId="421A75EE" w:rsidR="0033387E" w:rsidRPr="00721A8D" w:rsidRDefault="0033387E" w:rsidP="00721A8D">
      <w:pPr>
        <w:pStyle w:val="CM18"/>
        <w:numPr>
          <w:ilvl w:val="0"/>
          <w:numId w:val="5"/>
        </w:numPr>
        <w:spacing w:after="120"/>
        <w:ind w:left="360" w:hanging="360"/>
        <w:jc w:val="both"/>
        <w:rPr>
          <w:b/>
          <w:bCs/>
        </w:rPr>
      </w:pPr>
      <w:r w:rsidRPr="00721A8D">
        <w:rPr>
          <w:b/>
          <w:bCs/>
        </w:rPr>
        <w:t>Export Control Committee.</w:t>
      </w:r>
      <w:r w:rsidR="00A50457" w:rsidRPr="00721A8D">
        <w:rPr>
          <w:b/>
          <w:bCs/>
        </w:rPr>
        <w:t xml:space="preserve"> </w:t>
      </w:r>
      <w:r w:rsidRPr="00721A8D">
        <w:rPr>
          <w:bCs/>
        </w:rPr>
        <w:t xml:space="preserve">To assist the Export Control Office </w:t>
      </w:r>
      <w:r w:rsidR="00103E85">
        <w:rPr>
          <w:bCs/>
        </w:rPr>
        <w:t xml:space="preserve">(“ECO”) </w:t>
      </w:r>
      <w:r w:rsidRPr="00721A8D">
        <w:rPr>
          <w:bCs/>
        </w:rPr>
        <w:t>in managing this policy, an Export Control Committee is established.</w:t>
      </w:r>
    </w:p>
    <w:p w14:paraId="05DD37E9" w14:textId="11185205" w:rsidR="0033387E" w:rsidRPr="00721A8D" w:rsidRDefault="008306C8" w:rsidP="00721A8D">
      <w:pPr>
        <w:pStyle w:val="CM18"/>
        <w:numPr>
          <w:ilvl w:val="1"/>
          <w:numId w:val="5"/>
        </w:numPr>
        <w:spacing w:after="120"/>
        <w:ind w:left="720"/>
        <w:jc w:val="both"/>
        <w:rPr>
          <w:b/>
          <w:bCs/>
        </w:rPr>
      </w:pPr>
      <w:r w:rsidRPr="00721A8D">
        <w:rPr>
          <w:u w:val="single"/>
        </w:rPr>
        <w:t>Purpose</w:t>
      </w:r>
      <w:r w:rsidRPr="00721A8D">
        <w:t xml:space="preserve">. </w:t>
      </w:r>
      <w:r w:rsidR="0033387E" w:rsidRPr="00721A8D">
        <w:t xml:space="preserve">The </w:t>
      </w:r>
      <w:r w:rsidRPr="00721A8D">
        <w:t>Export Control Committee (“ECC”) will review, assess, a</w:t>
      </w:r>
      <w:r w:rsidR="009E7800" w:rsidRPr="00721A8D">
        <w:t xml:space="preserve">nd prioritize potential threats </w:t>
      </w:r>
      <w:r w:rsidRPr="00721A8D">
        <w:t xml:space="preserve">to continuing compliance with U.S. </w:t>
      </w:r>
      <w:r w:rsidR="00103E85">
        <w:t>e</w:t>
      </w:r>
      <w:r w:rsidRPr="00721A8D">
        <w:t xml:space="preserve">xport </w:t>
      </w:r>
      <w:r w:rsidR="00103E85">
        <w:t>c</w:t>
      </w:r>
      <w:r w:rsidRPr="00721A8D">
        <w:t>ontrol requirements.</w:t>
      </w:r>
      <w:r w:rsidR="00A50457" w:rsidRPr="00721A8D">
        <w:t xml:space="preserve"> </w:t>
      </w:r>
      <w:r w:rsidRPr="00721A8D">
        <w:t>Recommendations from the ECC will be sought by the Export Control Officer regarding the management of compliance risks and the appropriate actions to be taken, in adherence with federal laws and regulations and WVU requirements.</w:t>
      </w:r>
    </w:p>
    <w:p w14:paraId="0122F730" w14:textId="57CD65CF" w:rsidR="004076F9" w:rsidRPr="00721A8D" w:rsidRDefault="008306C8" w:rsidP="00721A8D">
      <w:pPr>
        <w:pStyle w:val="CM18"/>
        <w:numPr>
          <w:ilvl w:val="1"/>
          <w:numId w:val="5"/>
        </w:numPr>
        <w:spacing w:after="120"/>
        <w:ind w:left="720"/>
        <w:jc w:val="both"/>
      </w:pPr>
      <w:r w:rsidRPr="00721A8D">
        <w:rPr>
          <w:u w:val="single"/>
        </w:rPr>
        <w:t>Authority</w:t>
      </w:r>
      <w:r w:rsidRPr="00721A8D">
        <w:t xml:space="preserve">. The ECC has authority </w:t>
      </w:r>
      <w:r w:rsidR="004076F9" w:rsidRPr="00721A8D">
        <w:t>for r</w:t>
      </w:r>
      <w:r w:rsidRPr="00721A8D">
        <w:t xml:space="preserve">eviewing, prioritizing, and advising on identified areas of export control compliance </w:t>
      </w:r>
      <w:r w:rsidR="004076F9" w:rsidRPr="00721A8D">
        <w:t>risk. The committee also has the authority for d</w:t>
      </w:r>
      <w:r w:rsidRPr="00721A8D">
        <w:t xml:space="preserve">eveloping mechanisms to mitigate or eliminate </w:t>
      </w:r>
      <w:r w:rsidR="004076F9" w:rsidRPr="00721A8D">
        <w:t xml:space="preserve">unacceptable </w:t>
      </w:r>
      <w:r w:rsidR="00435DFB" w:rsidRPr="00721A8D">
        <w:t>risk.</w:t>
      </w:r>
    </w:p>
    <w:p w14:paraId="6969CBA4" w14:textId="7B78C5E2" w:rsidR="00EF5AD5" w:rsidRPr="00103E85" w:rsidRDefault="008306C8" w:rsidP="00103E85">
      <w:pPr>
        <w:pStyle w:val="ListParagraph"/>
        <w:numPr>
          <w:ilvl w:val="1"/>
          <w:numId w:val="5"/>
        </w:numPr>
        <w:spacing w:after="120" w:line="240" w:lineRule="auto"/>
        <w:ind w:left="720"/>
        <w:contextualSpacing w:val="0"/>
        <w:jc w:val="both"/>
      </w:pPr>
      <w:r w:rsidRPr="00721A8D">
        <w:rPr>
          <w:rFonts w:ascii="Times New Roman" w:hAnsi="Times New Roman"/>
          <w:sz w:val="24"/>
          <w:szCs w:val="24"/>
          <w:u w:val="single"/>
        </w:rPr>
        <w:t>Composition</w:t>
      </w:r>
      <w:r w:rsidRPr="00721A8D">
        <w:rPr>
          <w:rFonts w:ascii="Times New Roman" w:hAnsi="Times New Roman"/>
          <w:sz w:val="24"/>
          <w:szCs w:val="24"/>
        </w:rPr>
        <w:t>.</w:t>
      </w:r>
      <w:r w:rsidR="00A50457" w:rsidRPr="00721A8D">
        <w:rPr>
          <w:rFonts w:ascii="Times New Roman" w:hAnsi="Times New Roman"/>
          <w:sz w:val="24"/>
          <w:szCs w:val="24"/>
        </w:rPr>
        <w:t xml:space="preserve"> </w:t>
      </w:r>
      <w:r w:rsidR="004420C5" w:rsidRPr="00721A8D">
        <w:rPr>
          <w:rFonts w:ascii="Times New Roman" w:hAnsi="Times New Roman"/>
          <w:sz w:val="24"/>
          <w:szCs w:val="24"/>
        </w:rPr>
        <w:t xml:space="preserve">The ECC shall consist of </w:t>
      </w:r>
      <w:r w:rsidR="00533F9C" w:rsidRPr="00721A8D">
        <w:rPr>
          <w:rFonts w:ascii="Times New Roman" w:hAnsi="Times New Roman"/>
          <w:sz w:val="24"/>
          <w:szCs w:val="24"/>
        </w:rPr>
        <w:t xml:space="preserve">seven </w:t>
      </w:r>
      <w:r w:rsidR="005C2A93" w:rsidRPr="00721A8D">
        <w:rPr>
          <w:rFonts w:ascii="Times New Roman" w:hAnsi="Times New Roman"/>
          <w:sz w:val="24"/>
          <w:szCs w:val="24"/>
        </w:rPr>
        <w:t>voting members</w:t>
      </w:r>
      <w:r w:rsidR="00103E85">
        <w:rPr>
          <w:rFonts w:ascii="Times New Roman" w:hAnsi="Times New Roman"/>
          <w:sz w:val="24"/>
          <w:szCs w:val="24"/>
        </w:rPr>
        <w:t xml:space="preserve"> and two non-voting, ex officio members. </w:t>
      </w:r>
      <w:r w:rsidR="00103E85" w:rsidRPr="00103E85">
        <w:rPr>
          <w:rFonts w:ascii="Times New Roman" w:hAnsi="Times New Roman"/>
          <w:sz w:val="24"/>
          <w:szCs w:val="24"/>
        </w:rPr>
        <w:t>At the annual meeting, the voting members shall select one member to serve as chairperson. The chairperson, or his or her designee, shall preside over all meetings.</w:t>
      </w:r>
    </w:p>
    <w:p w14:paraId="4169C875" w14:textId="7B3EFE91" w:rsidR="00946F18" w:rsidRPr="00721A8D" w:rsidRDefault="00946F18" w:rsidP="00533F9C">
      <w:pPr>
        <w:pStyle w:val="ListParagraph"/>
        <w:numPr>
          <w:ilvl w:val="1"/>
          <w:numId w:val="5"/>
        </w:numPr>
        <w:spacing w:after="120" w:line="240" w:lineRule="auto"/>
        <w:ind w:left="720"/>
        <w:contextualSpacing w:val="0"/>
        <w:jc w:val="both"/>
        <w:rPr>
          <w:rFonts w:ascii="Times New Roman" w:hAnsi="Times New Roman"/>
          <w:sz w:val="24"/>
          <w:szCs w:val="24"/>
        </w:rPr>
      </w:pPr>
      <w:r w:rsidRPr="00721A8D">
        <w:rPr>
          <w:rFonts w:ascii="Times New Roman" w:hAnsi="Times New Roman"/>
          <w:sz w:val="24"/>
          <w:szCs w:val="24"/>
          <w:u w:val="single"/>
        </w:rPr>
        <w:t>Members</w:t>
      </w:r>
      <w:r w:rsidRPr="00721A8D">
        <w:rPr>
          <w:rFonts w:ascii="Times New Roman" w:hAnsi="Times New Roman"/>
          <w:sz w:val="24"/>
          <w:szCs w:val="24"/>
        </w:rPr>
        <w:t>. The following individuals, or his or her designee, shall serve perpetual terms as voting members on the ECC:</w:t>
      </w:r>
    </w:p>
    <w:p w14:paraId="2DDE8220" w14:textId="77777777" w:rsidR="00946F18" w:rsidRPr="00721A8D" w:rsidRDefault="00946F18" w:rsidP="00533F9C">
      <w:pPr>
        <w:pStyle w:val="ListParagraph"/>
        <w:numPr>
          <w:ilvl w:val="0"/>
          <w:numId w:val="12"/>
        </w:numPr>
        <w:spacing w:after="0" w:line="240" w:lineRule="auto"/>
        <w:contextualSpacing w:val="0"/>
        <w:jc w:val="both"/>
        <w:rPr>
          <w:rFonts w:ascii="Times New Roman" w:hAnsi="Times New Roman"/>
          <w:sz w:val="24"/>
          <w:szCs w:val="24"/>
        </w:rPr>
      </w:pPr>
      <w:r w:rsidRPr="00721A8D">
        <w:rPr>
          <w:rFonts w:ascii="Times New Roman" w:hAnsi="Times New Roman"/>
          <w:sz w:val="24"/>
          <w:szCs w:val="24"/>
        </w:rPr>
        <w:t>The Vice President for Research;</w:t>
      </w:r>
    </w:p>
    <w:p w14:paraId="01BB305F" w14:textId="77777777" w:rsidR="000C6B45" w:rsidRDefault="00946F18" w:rsidP="00533F9C">
      <w:pPr>
        <w:pStyle w:val="ListParagraph"/>
        <w:numPr>
          <w:ilvl w:val="0"/>
          <w:numId w:val="12"/>
        </w:numPr>
        <w:spacing w:after="0" w:line="240" w:lineRule="auto"/>
        <w:contextualSpacing w:val="0"/>
        <w:jc w:val="both"/>
        <w:rPr>
          <w:rFonts w:ascii="Times New Roman" w:hAnsi="Times New Roman"/>
          <w:sz w:val="24"/>
          <w:szCs w:val="24"/>
        </w:rPr>
      </w:pPr>
      <w:r w:rsidRPr="00721A8D">
        <w:rPr>
          <w:rFonts w:ascii="Times New Roman" w:hAnsi="Times New Roman"/>
          <w:sz w:val="24"/>
          <w:szCs w:val="24"/>
        </w:rPr>
        <w:t xml:space="preserve">The Associate Vice President for Research Administration; </w:t>
      </w:r>
    </w:p>
    <w:p w14:paraId="4C32C77D" w14:textId="0B20F6A8" w:rsidR="00946F18" w:rsidRPr="00721A8D" w:rsidRDefault="000C6B45" w:rsidP="00533F9C">
      <w:pPr>
        <w:pStyle w:val="ListParagraph"/>
        <w:numPr>
          <w:ilvl w:val="0"/>
          <w:numId w:val="12"/>
        </w:numPr>
        <w:spacing w:after="0" w:line="240" w:lineRule="auto"/>
        <w:contextualSpacing w:val="0"/>
        <w:jc w:val="both"/>
        <w:rPr>
          <w:rFonts w:ascii="Times New Roman" w:hAnsi="Times New Roman"/>
          <w:sz w:val="24"/>
          <w:szCs w:val="24"/>
        </w:rPr>
      </w:pPr>
      <w:r>
        <w:rPr>
          <w:rFonts w:ascii="Times New Roman" w:hAnsi="Times New Roman"/>
          <w:sz w:val="24"/>
          <w:szCs w:val="24"/>
        </w:rPr>
        <w:t>The Vice President for Global Strategies and International Affairs</w:t>
      </w:r>
      <w:bookmarkStart w:id="0" w:name="_GoBack"/>
      <w:bookmarkEnd w:id="0"/>
      <w:r w:rsidR="00FC1BA7">
        <w:rPr>
          <w:rFonts w:ascii="Times New Roman" w:hAnsi="Times New Roman"/>
          <w:sz w:val="24"/>
          <w:szCs w:val="24"/>
        </w:rPr>
        <w:t>;</w:t>
      </w:r>
      <w:r w:rsidR="00FC1BA7">
        <w:rPr>
          <w:rFonts w:ascii="Times New Roman" w:hAnsi="Times New Roman"/>
          <w:sz w:val="24"/>
          <w:szCs w:val="24"/>
        </w:rPr>
        <w:t xml:space="preserve"> </w:t>
      </w:r>
      <w:r w:rsidR="00946F18" w:rsidRPr="00721A8D">
        <w:rPr>
          <w:rFonts w:ascii="Times New Roman" w:hAnsi="Times New Roman"/>
          <w:sz w:val="24"/>
          <w:szCs w:val="24"/>
        </w:rPr>
        <w:t>and</w:t>
      </w:r>
    </w:p>
    <w:p w14:paraId="61C79F28" w14:textId="11D748DB" w:rsidR="00946F18" w:rsidRPr="00721A8D" w:rsidRDefault="00946F18" w:rsidP="00533F9C">
      <w:pPr>
        <w:pStyle w:val="ListParagraph"/>
        <w:numPr>
          <w:ilvl w:val="0"/>
          <w:numId w:val="12"/>
        </w:numPr>
        <w:spacing w:after="120" w:line="240" w:lineRule="auto"/>
        <w:contextualSpacing w:val="0"/>
        <w:jc w:val="both"/>
        <w:rPr>
          <w:rFonts w:ascii="Times New Roman" w:hAnsi="Times New Roman"/>
          <w:sz w:val="24"/>
          <w:szCs w:val="24"/>
        </w:rPr>
      </w:pPr>
      <w:r w:rsidRPr="00721A8D">
        <w:rPr>
          <w:rFonts w:ascii="Times New Roman" w:hAnsi="Times New Roman"/>
          <w:sz w:val="24"/>
          <w:szCs w:val="24"/>
        </w:rPr>
        <w:t>The Senior Associate Vice President for Research and Graduate Education at Health Sciences.</w:t>
      </w:r>
    </w:p>
    <w:p w14:paraId="5C41CBDB" w14:textId="0400EFFD" w:rsidR="00946F18" w:rsidRPr="00721A8D" w:rsidRDefault="00946F18" w:rsidP="00533F9C">
      <w:pPr>
        <w:pStyle w:val="ListParagraph"/>
        <w:spacing w:after="120" w:line="240" w:lineRule="auto"/>
        <w:contextualSpacing w:val="0"/>
        <w:jc w:val="both"/>
        <w:rPr>
          <w:rFonts w:ascii="Times New Roman" w:hAnsi="Times New Roman"/>
          <w:sz w:val="24"/>
          <w:szCs w:val="24"/>
        </w:rPr>
      </w:pPr>
      <w:r w:rsidRPr="00721A8D">
        <w:rPr>
          <w:rFonts w:ascii="Times New Roman" w:hAnsi="Times New Roman"/>
          <w:sz w:val="24"/>
          <w:szCs w:val="24"/>
        </w:rPr>
        <w:t xml:space="preserve">Additionally, the Vice President for Research shall select </w:t>
      </w:r>
      <w:r w:rsidR="000C6B45">
        <w:rPr>
          <w:rFonts w:ascii="Times New Roman" w:hAnsi="Times New Roman"/>
          <w:sz w:val="24"/>
          <w:szCs w:val="24"/>
        </w:rPr>
        <w:t>three</w:t>
      </w:r>
      <w:r w:rsidR="000C6B45" w:rsidRPr="00721A8D">
        <w:rPr>
          <w:rFonts w:ascii="Times New Roman" w:hAnsi="Times New Roman"/>
          <w:sz w:val="24"/>
          <w:szCs w:val="24"/>
        </w:rPr>
        <w:t xml:space="preserve"> </w:t>
      </w:r>
      <w:r w:rsidRPr="00721A8D">
        <w:rPr>
          <w:rFonts w:ascii="Times New Roman" w:hAnsi="Times New Roman"/>
          <w:sz w:val="24"/>
          <w:szCs w:val="24"/>
        </w:rPr>
        <w:t>additional voting members to serve on the ECC for renewable one-year terms, beginning on July 1</w:t>
      </w:r>
      <w:r w:rsidRPr="00721A8D">
        <w:rPr>
          <w:rFonts w:ascii="Times New Roman" w:hAnsi="Times New Roman"/>
          <w:sz w:val="24"/>
          <w:szCs w:val="24"/>
          <w:vertAlign w:val="superscript"/>
        </w:rPr>
        <w:t>st</w:t>
      </w:r>
      <w:r w:rsidRPr="00721A8D">
        <w:rPr>
          <w:rFonts w:ascii="Times New Roman" w:hAnsi="Times New Roman"/>
          <w:sz w:val="24"/>
          <w:szCs w:val="24"/>
        </w:rPr>
        <w:t xml:space="preserve"> and ending on June 30</w:t>
      </w:r>
      <w:r w:rsidRPr="00721A8D">
        <w:rPr>
          <w:rFonts w:ascii="Times New Roman" w:hAnsi="Times New Roman"/>
          <w:sz w:val="24"/>
          <w:szCs w:val="24"/>
          <w:vertAlign w:val="superscript"/>
        </w:rPr>
        <w:t>th</w:t>
      </w:r>
      <w:r w:rsidRPr="00721A8D">
        <w:rPr>
          <w:rFonts w:ascii="Times New Roman" w:hAnsi="Times New Roman"/>
          <w:sz w:val="24"/>
          <w:szCs w:val="24"/>
        </w:rPr>
        <w:t>. The additional voting members shall be employees from WVU or WVU affiliate</w:t>
      </w:r>
      <w:r w:rsidR="00103E85">
        <w:rPr>
          <w:rFonts w:ascii="Times New Roman" w:hAnsi="Times New Roman"/>
          <w:sz w:val="24"/>
          <w:szCs w:val="24"/>
        </w:rPr>
        <w:t>d organizations</w:t>
      </w:r>
      <w:r w:rsidRPr="00721A8D">
        <w:rPr>
          <w:rFonts w:ascii="Times New Roman" w:hAnsi="Times New Roman"/>
          <w:sz w:val="24"/>
          <w:szCs w:val="24"/>
        </w:rPr>
        <w:t xml:space="preserve"> with broad </w:t>
      </w:r>
      <w:r w:rsidR="00533F9C" w:rsidRPr="00721A8D">
        <w:rPr>
          <w:rFonts w:ascii="Times New Roman" w:hAnsi="Times New Roman"/>
          <w:sz w:val="24"/>
          <w:szCs w:val="24"/>
        </w:rPr>
        <w:t>practical</w:t>
      </w:r>
      <w:r w:rsidRPr="00721A8D">
        <w:rPr>
          <w:rFonts w:ascii="Times New Roman" w:hAnsi="Times New Roman"/>
          <w:sz w:val="24"/>
          <w:szCs w:val="24"/>
        </w:rPr>
        <w:t xml:space="preserve"> </w:t>
      </w:r>
      <w:r w:rsidR="00533F9C" w:rsidRPr="00721A8D">
        <w:rPr>
          <w:rFonts w:ascii="Times New Roman" w:hAnsi="Times New Roman"/>
          <w:sz w:val="24"/>
          <w:szCs w:val="24"/>
        </w:rPr>
        <w:t xml:space="preserve">experience </w:t>
      </w:r>
      <w:r w:rsidRPr="00721A8D">
        <w:rPr>
          <w:rFonts w:ascii="Times New Roman" w:hAnsi="Times New Roman"/>
          <w:sz w:val="24"/>
          <w:szCs w:val="24"/>
        </w:rPr>
        <w:t>or business knowledge related to export control issues. The members of the current committee may recommend to the Vice President for Research specific employees who may serve on the ECC.</w:t>
      </w:r>
    </w:p>
    <w:p w14:paraId="5078F7D4" w14:textId="0177B110" w:rsidR="00946F18" w:rsidRPr="00721A8D" w:rsidRDefault="00946F18" w:rsidP="00721A8D">
      <w:pPr>
        <w:pStyle w:val="ListParagraph"/>
        <w:spacing w:after="120" w:line="240" w:lineRule="auto"/>
        <w:contextualSpacing w:val="0"/>
        <w:jc w:val="both"/>
        <w:rPr>
          <w:rFonts w:ascii="Times New Roman" w:hAnsi="Times New Roman"/>
          <w:sz w:val="24"/>
          <w:szCs w:val="24"/>
        </w:rPr>
      </w:pPr>
      <w:r w:rsidRPr="00721A8D">
        <w:rPr>
          <w:rFonts w:ascii="Times New Roman" w:hAnsi="Times New Roman"/>
          <w:sz w:val="24"/>
          <w:szCs w:val="24"/>
        </w:rPr>
        <w:t>Further, the Export Control Officer and a representative from the Office of Legal Services and General Counsel shall serve as non-voting, ex officio members of the ECC</w:t>
      </w:r>
      <w:r w:rsidR="00533F9C" w:rsidRPr="00721A8D">
        <w:rPr>
          <w:rFonts w:ascii="Times New Roman" w:hAnsi="Times New Roman"/>
          <w:sz w:val="24"/>
          <w:szCs w:val="24"/>
        </w:rPr>
        <w:t>.</w:t>
      </w:r>
    </w:p>
    <w:p w14:paraId="2D3C1DA7" w14:textId="31E8C9E2" w:rsidR="00721A8D" w:rsidRDefault="002A206B" w:rsidP="00382D87">
      <w:pPr>
        <w:numPr>
          <w:ilvl w:val="1"/>
          <w:numId w:val="5"/>
        </w:numPr>
        <w:spacing w:after="120" w:line="240" w:lineRule="auto"/>
        <w:ind w:left="720"/>
        <w:jc w:val="both"/>
        <w:rPr>
          <w:rFonts w:ascii="Times New Roman" w:hAnsi="Times New Roman"/>
          <w:sz w:val="24"/>
          <w:szCs w:val="24"/>
        </w:rPr>
      </w:pPr>
      <w:r w:rsidRPr="00721A8D">
        <w:rPr>
          <w:rFonts w:ascii="Times New Roman" w:hAnsi="Times New Roman"/>
          <w:sz w:val="24"/>
          <w:szCs w:val="24"/>
          <w:u w:val="single"/>
        </w:rPr>
        <w:t>Reporting Structure</w:t>
      </w:r>
      <w:r w:rsidRPr="00721A8D">
        <w:rPr>
          <w:rFonts w:ascii="Times New Roman" w:hAnsi="Times New Roman"/>
          <w:sz w:val="24"/>
          <w:szCs w:val="24"/>
        </w:rPr>
        <w:t>. The Export Control Officer is responsible for administering the ECO Manual and making the initial determination that an export control matter needs to be referred to the ECC.</w:t>
      </w:r>
      <w:r w:rsidR="00A50457" w:rsidRPr="00721A8D">
        <w:rPr>
          <w:rFonts w:ascii="Times New Roman" w:hAnsi="Times New Roman"/>
          <w:sz w:val="24"/>
          <w:szCs w:val="24"/>
        </w:rPr>
        <w:t xml:space="preserve"> </w:t>
      </w:r>
      <w:r w:rsidRPr="00721A8D">
        <w:rPr>
          <w:rFonts w:ascii="Times New Roman" w:hAnsi="Times New Roman"/>
          <w:sz w:val="24"/>
          <w:szCs w:val="24"/>
        </w:rPr>
        <w:t xml:space="preserve">The ECO shall receive </w:t>
      </w:r>
      <w:r w:rsidR="004420C5" w:rsidRPr="00721A8D">
        <w:rPr>
          <w:rFonts w:ascii="Times New Roman" w:hAnsi="Times New Roman"/>
          <w:sz w:val="24"/>
          <w:szCs w:val="24"/>
        </w:rPr>
        <w:t xml:space="preserve">recommendations </w:t>
      </w:r>
      <w:r w:rsidRPr="00721A8D">
        <w:rPr>
          <w:rFonts w:ascii="Times New Roman" w:hAnsi="Times New Roman"/>
          <w:sz w:val="24"/>
          <w:szCs w:val="24"/>
        </w:rPr>
        <w:t xml:space="preserve">from the ECC with regard </w:t>
      </w:r>
      <w:r w:rsidRPr="00721A8D">
        <w:rPr>
          <w:rFonts w:ascii="Times New Roman" w:hAnsi="Times New Roman"/>
          <w:sz w:val="24"/>
          <w:szCs w:val="24"/>
        </w:rPr>
        <w:lastRenderedPageBreak/>
        <w:t xml:space="preserve">to specific </w:t>
      </w:r>
      <w:r w:rsidR="006D0E23" w:rsidRPr="00721A8D">
        <w:rPr>
          <w:rFonts w:ascii="Times New Roman" w:hAnsi="Times New Roman"/>
          <w:sz w:val="24"/>
          <w:szCs w:val="24"/>
        </w:rPr>
        <w:t>matters</w:t>
      </w:r>
      <w:r w:rsidRPr="00721A8D">
        <w:rPr>
          <w:rFonts w:ascii="Times New Roman" w:hAnsi="Times New Roman"/>
          <w:sz w:val="24"/>
          <w:szCs w:val="24"/>
        </w:rPr>
        <w:t>.</w:t>
      </w:r>
      <w:r w:rsidR="00A50457" w:rsidRPr="00721A8D">
        <w:rPr>
          <w:rFonts w:ascii="Times New Roman" w:hAnsi="Times New Roman"/>
          <w:sz w:val="24"/>
          <w:szCs w:val="24"/>
        </w:rPr>
        <w:t xml:space="preserve"> </w:t>
      </w:r>
      <w:r w:rsidRPr="00721A8D">
        <w:rPr>
          <w:rFonts w:ascii="Times New Roman" w:hAnsi="Times New Roman"/>
          <w:sz w:val="24"/>
          <w:szCs w:val="24"/>
        </w:rPr>
        <w:t>The designated Empowered Officials maintain independent statutory authority to report any violations of International Traffic in Arms Regulations.</w:t>
      </w:r>
    </w:p>
    <w:p w14:paraId="764A4876" w14:textId="77777777" w:rsidR="002A206B" w:rsidRPr="00721A8D" w:rsidRDefault="002A206B" w:rsidP="00382D87">
      <w:pPr>
        <w:numPr>
          <w:ilvl w:val="0"/>
          <w:numId w:val="5"/>
        </w:numPr>
        <w:spacing w:after="120" w:line="240" w:lineRule="auto"/>
        <w:ind w:left="360" w:hanging="360"/>
        <w:jc w:val="both"/>
        <w:rPr>
          <w:rFonts w:ascii="Times New Roman" w:hAnsi="Times New Roman"/>
          <w:b/>
          <w:sz w:val="24"/>
          <w:szCs w:val="24"/>
        </w:rPr>
      </w:pPr>
      <w:r w:rsidRPr="00721A8D">
        <w:rPr>
          <w:rFonts w:ascii="Times New Roman" w:hAnsi="Times New Roman"/>
          <w:b/>
          <w:sz w:val="24"/>
          <w:szCs w:val="24"/>
        </w:rPr>
        <w:t>Export Control Committee Meetings</w:t>
      </w:r>
    </w:p>
    <w:p w14:paraId="1ACACAEF" w14:textId="0B9236A0" w:rsidR="002A206B" w:rsidRPr="00721A8D" w:rsidRDefault="008306C8">
      <w:pPr>
        <w:numPr>
          <w:ilvl w:val="1"/>
          <w:numId w:val="5"/>
        </w:numPr>
        <w:spacing w:after="120" w:line="240" w:lineRule="auto"/>
        <w:ind w:left="720"/>
        <w:jc w:val="both"/>
        <w:rPr>
          <w:rFonts w:ascii="Times New Roman" w:hAnsi="Times New Roman"/>
          <w:sz w:val="24"/>
          <w:szCs w:val="24"/>
        </w:rPr>
      </w:pPr>
      <w:r w:rsidRPr="00721A8D">
        <w:rPr>
          <w:rFonts w:ascii="Times New Roman" w:hAnsi="Times New Roman"/>
          <w:sz w:val="24"/>
          <w:szCs w:val="24"/>
          <w:u w:val="single"/>
        </w:rPr>
        <w:t>Meetings</w:t>
      </w:r>
      <w:r w:rsidRPr="00721A8D">
        <w:rPr>
          <w:rFonts w:ascii="Times New Roman" w:hAnsi="Times New Roman"/>
          <w:sz w:val="24"/>
          <w:szCs w:val="24"/>
        </w:rPr>
        <w:t xml:space="preserve">. The ECC shall meet in person on at least an annual basis. </w:t>
      </w:r>
      <w:r w:rsidR="00563CB2" w:rsidRPr="00721A8D">
        <w:rPr>
          <w:rFonts w:ascii="Times New Roman" w:hAnsi="Times New Roman"/>
          <w:sz w:val="24"/>
          <w:szCs w:val="24"/>
        </w:rPr>
        <w:t>Otherwise, meetings may be conducted telephonically or electronically at the discretion of the chairperson of the ECC.</w:t>
      </w:r>
      <w:r w:rsidR="00A50457" w:rsidRPr="00721A8D">
        <w:rPr>
          <w:rFonts w:ascii="Times New Roman" w:hAnsi="Times New Roman"/>
          <w:sz w:val="24"/>
          <w:szCs w:val="24"/>
        </w:rPr>
        <w:t xml:space="preserve"> </w:t>
      </w:r>
      <w:r w:rsidRPr="00721A8D">
        <w:rPr>
          <w:rFonts w:ascii="Times New Roman" w:hAnsi="Times New Roman"/>
          <w:sz w:val="24"/>
          <w:szCs w:val="24"/>
        </w:rPr>
        <w:t>On an ad hoc basis, the ECC may be called upon by the Export Control Officer to meet and confer about a specific export control compliance issue.</w:t>
      </w:r>
      <w:r w:rsidR="00A50457" w:rsidRPr="00721A8D">
        <w:rPr>
          <w:rFonts w:ascii="Times New Roman" w:hAnsi="Times New Roman"/>
          <w:sz w:val="24"/>
          <w:szCs w:val="24"/>
        </w:rPr>
        <w:t xml:space="preserve"> </w:t>
      </w:r>
    </w:p>
    <w:p w14:paraId="70D7F43C" w14:textId="77777777" w:rsidR="002A206B" w:rsidRPr="00721A8D" w:rsidRDefault="008306C8">
      <w:pPr>
        <w:numPr>
          <w:ilvl w:val="1"/>
          <w:numId w:val="5"/>
        </w:numPr>
        <w:spacing w:after="120" w:line="240" w:lineRule="auto"/>
        <w:ind w:left="720"/>
        <w:jc w:val="both"/>
        <w:rPr>
          <w:rFonts w:ascii="Times New Roman" w:hAnsi="Times New Roman"/>
          <w:sz w:val="24"/>
          <w:szCs w:val="24"/>
        </w:rPr>
      </w:pPr>
      <w:r w:rsidRPr="00721A8D">
        <w:rPr>
          <w:rFonts w:ascii="Times New Roman" w:hAnsi="Times New Roman"/>
          <w:sz w:val="24"/>
          <w:szCs w:val="24"/>
          <w:u w:val="single"/>
        </w:rPr>
        <w:t>Meeting Minutes</w:t>
      </w:r>
      <w:r w:rsidRPr="00721A8D">
        <w:rPr>
          <w:rFonts w:ascii="Times New Roman" w:hAnsi="Times New Roman"/>
          <w:sz w:val="24"/>
          <w:szCs w:val="24"/>
        </w:rPr>
        <w:t xml:space="preserve">. The Export </w:t>
      </w:r>
      <w:r w:rsidR="007D6126" w:rsidRPr="00721A8D">
        <w:rPr>
          <w:rFonts w:ascii="Times New Roman" w:hAnsi="Times New Roman"/>
          <w:sz w:val="24"/>
          <w:szCs w:val="24"/>
        </w:rPr>
        <w:t xml:space="preserve">Control Officer, or his or </w:t>
      </w:r>
      <w:r w:rsidRPr="00721A8D">
        <w:rPr>
          <w:rFonts w:ascii="Times New Roman" w:hAnsi="Times New Roman"/>
          <w:sz w:val="24"/>
          <w:szCs w:val="24"/>
        </w:rPr>
        <w:t xml:space="preserve">her designee, shall prepare written minutes of the ECC’s meetings </w:t>
      </w:r>
      <w:r w:rsidR="00CD20D2" w:rsidRPr="00721A8D">
        <w:rPr>
          <w:rFonts w:ascii="Times New Roman" w:hAnsi="Times New Roman"/>
          <w:sz w:val="24"/>
          <w:szCs w:val="24"/>
        </w:rPr>
        <w:t xml:space="preserve">for approval by the ECC </w:t>
      </w:r>
      <w:r w:rsidRPr="00721A8D">
        <w:rPr>
          <w:rFonts w:ascii="Times New Roman" w:hAnsi="Times New Roman"/>
          <w:sz w:val="24"/>
          <w:szCs w:val="24"/>
        </w:rPr>
        <w:t>that will be maintained by the ECO.</w:t>
      </w:r>
    </w:p>
    <w:p w14:paraId="27C19197" w14:textId="034657E5" w:rsidR="002A206B" w:rsidRPr="00721A8D" w:rsidRDefault="008306C8">
      <w:pPr>
        <w:numPr>
          <w:ilvl w:val="1"/>
          <w:numId w:val="5"/>
        </w:numPr>
        <w:spacing w:after="120" w:line="240" w:lineRule="auto"/>
        <w:ind w:left="720"/>
        <w:jc w:val="both"/>
        <w:rPr>
          <w:rFonts w:ascii="Times New Roman" w:hAnsi="Times New Roman"/>
          <w:sz w:val="24"/>
          <w:szCs w:val="24"/>
        </w:rPr>
      </w:pPr>
      <w:r w:rsidRPr="00721A8D">
        <w:rPr>
          <w:rFonts w:ascii="Times New Roman" w:hAnsi="Times New Roman"/>
          <w:sz w:val="24"/>
          <w:szCs w:val="24"/>
          <w:u w:val="single"/>
        </w:rPr>
        <w:t>Quorum</w:t>
      </w:r>
      <w:r w:rsidR="00435DFB" w:rsidRPr="00721A8D">
        <w:rPr>
          <w:rFonts w:ascii="Times New Roman" w:hAnsi="Times New Roman"/>
          <w:sz w:val="24"/>
          <w:szCs w:val="24"/>
        </w:rPr>
        <w:t xml:space="preserve">. A two-thirds </w:t>
      </w:r>
      <w:r w:rsidRPr="00721A8D">
        <w:rPr>
          <w:rFonts w:ascii="Times New Roman" w:hAnsi="Times New Roman"/>
          <w:sz w:val="24"/>
          <w:szCs w:val="24"/>
        </w:rPr>
        <w:t xml:space="preserve">majority of the </w:t>
      </w:r>
      <w:r w:rsidR="005145AB" w:rsidRPr="00721A8D">
        <w:rPr>
          <w:rFonts w:ascii="Times New Roman" w:hAnsi="Times New Roman"/>
          <w:sz w:val="24"/>
          <w:szCs w:val="24"/>
        </w:rPr>
        <w:t xml:space="preserve">voting </w:t>
      </w:r>
      <w:r w:rsidRPr="00721A8D">
        <w:rPr>
          <w:rFonts w:ascii="Times New Roman" w:hAnsi="Times New Roman"/>
          <w:sz w:val="24"/>
          <w:szCs w:val="24"/>
        </w:rPr>
        <w:t>members shall constitute a quorum.</w:t>
      </w:r>
      <w:r w:rsidR="00A50457" w:rsidRPr="00721A8D">
        <w:rPr>
          <w:rFonts w:ascii="Times New Roman" w:hAnsi="Times New Roman"/>
          <w:sz w:val="24"/>
          <w:szCs w:val="24"/>
        </w:rPr>
        <w:t xml:space="preserve"> </w:t>
      </w:r>
    </w:p>
    <w:p w14:paraId="699342FE" w14:textId="3CA68F69" w:rsidR="006D0E23" w:rsidRPr="00721A8D" w:rsidRDefault="00B625E2" w:rsidP="00721A8D">
      <w:pPr>
        <w:numPr>
          <w:ilvl w:val="1"/>
          <w:numId w:val="5"/>
        </w:numPr>
        <w:spacing w:after="120" w:line="240" w:lineRule="auto"/>
        <w:ind w:left="720"/>
        <w:jc w:val="both"/>
        <w:rPr>
          <w:rFonts w:ascii="Times New Roman" w:hAnsi="Times New Roman"/>
          <w:sz w:val="24"/>
          <w:szCs w:val="24"/>
        </w:rPr>
      </w:pPr>
      <w:r w:rsidRPr="00721A8D">
        <w:rPr>
          <w:rFonts w:ascii="Times New Roman" w:hAnsi="Times New Roman"/>
          <w:sz w:val="24"/>
          <w:szCs w:val="24"/>
          <w:u w:val="single"/>
        </w:rPr>
        <w:t>Voting</w:t>
      </w:r>
      <w:r w:rsidRPr="00721A8D">
        <w:rPr>
          <w:rFonts w:ascii="Times New Roman" w:hAnsi="Times New Roman"/>
          <w:sz w:val="24"/>
          <w:szCs w:val="24"/>
        </w:rPr>
        <w:t>. The voting shall be conducted by voice vote</w:t>
      </w:r>
      <w:r w:rsidR="00AF14E6" w:rsidRPr="00721A8D">
        <w:rPr>
          <w:rFonts w:ascii="Times New Roman" w:hAnsi="Times New Roman"/>
          <w:sz w:val="24"/>
          <w:szCs w:val="24"/>
        </w:rPr>
        <w:t xml:space="preserve">, </w:t>
      </w:r>
      <w:r w:rsidRPr="00721A8D">
        <w:rPr>
          <w:rFonts w:ascii="Times New Roman" w:hAnsi="Times New Roman"/>
          <w:sz w:val="24"/>
          <w:szCs w:val="24"/>
        </w:rPr>
        <w:t xml:space="preserve">with the simple majority necessary to carry any action. </w:t>
      </w:r>
    </w:p>
    <w:p w14:paraId="6FFEE673" w14:textId="4E02249B" w:rsidR="000C6B45" w:rsidRDefault="006B75D5">
      <w:pPr>
        <w:numPr>
          <w:ilvl w:val="0"/>
          <w:numId w:val="5"/>
        </w:numPr>
        <w:spacing w:after="120" w:line="240" w:lineRule="auto"/>
        <w:ind w:left="360" w:hanging="360"/>
        <w:jc w:val="both"/>
      </w:pPr>
      <w:r w:rsidRPr="00721A8D">
        <w:rPr>
          <w:rFonts w:ascii="Times New Roman" w:hAnsi="Times New Roman"/>
          <w:b/>
          <w:bCs/>
          <w:sz w:val="24"/>
          <w:szCs w:val="24"/>
        </w:rPr>
        <w:t xml:space="preserve">Communication of the </w:t>
      </w:r>
      <w:r w:rsidR="00CA2597" w:rsidRPr="00721A8D">
        <w:rPr>
          <w:rFonts w:ascii="Times New Roman" w:hAnsi="Times New Roman"/>
          <w:b/>
          <w:bCs/>
          <w:sz w:val="24"/>
          <w:szCs w:val="24"/>
        </w:rPr>
        <w:t xml:space="preserve">ECO Final Determination. </w:t>
      </w:r>
      <w:r w:rsidR="00B625E2" w:rsidRPr="00721A8D">
        <w:rPr>
          <w:rFonts w:ascii="Times New Roman" w:hAnsi="Times New Roman"/>
          <w:sz w:val="24"/>
          <w:szCs w:val="24"/>
        </w:rPr>
        <w:t xml:space="preserve">Within ten days of a </w:t>
      </w:r>
      <w:r w:rsidR="006D0E23" w:rsidRPr="00721A8D">
        <w:rPr>
          <w:rFonts w:ascii="Times New Roman" w:hAnsi="Times New Roman"/>
          <w:sz w:val="24"/>
          <w:szCs w:val="24"/>
        </w:rPr>
        <w:t>meeting</w:t>
      </w:r>
      <w:r w:rsidR="00B625E2" w:rsidRPr="00721A8D">
        <w:rPr>
          <w:rFonts w:ascii="Times New Roman" w:hAnsi="Times New Roman"/>
          <w:sz w:val="24"/>
          <w:szCs w:val="24"/>
        </w:rPr>
        <w:t>, t</w:t>
      </w:r>
      <w:r w:rsidRPr="00721A8D">
        <w:rPr>
          <w:rFonts w:ascii="Times New Roman" w:hAnsi="Times New Roman"/>
          <w:sz w:val="24"/>
          <w:szCs w:val="24"/>
        </w:rPr>
        <w:t xml:space="preserve">he </w:t>
      </w:r>
      <w:r w:rsidR="008306C8" w:rsidRPr="00721A8D">
        <w:rPr>
          <w:rFonts w:ascii="Times New Roman" w:hAnsi="Times New Roman"/>
          <w:sz w:val="24"/>
          <w:szCs w:val="24"/>
        </w:rPr>
        <w:t>E</w:t>
      </w:r>
      <w:r w:rsidR="00CA2597" w:rsidRPr="00721A8D">
        <w:rPr>
          <w:rFonts w:ascii="Times New Roman" w:hAnsi="Times New Roman"/>
          <w:sz w:val="24"/>
          <w:szCs w:val="24"/>
        </w:rPr>
        <w:t>xport Control Officer or Empowered Officials</w:t>
      </w:r>
      <w:r w:rsidR="008306C8" w:rsidRPr="00721A8D">
        <w:rPr>
          <w:rFonts w:ascii="Times New Roman" w:hAnsi="Times New Roman"/>
          <w:sz w:val="24"/>
          <w:szCs w:val="24"/>
        </w:rPr>
        <w:t xml:space="preserve"> </w:t>
      </w:r>
      <w:r w:rsidR="006D0E23" w:rsidRPr="00721A8D">
        <w:rPr>
          <w:rFonts w:ascii="Times New Roman" w:hAnsi="Times New Roman"/>
          <w:sz w:val="24"/>
          <w:szCs w:val="24"/>
        </w:rPr>
        <w:t xml:space="preserve">shall decide whether to accept the recommendations of the ECC. If necessary, the ECO </w:t>
      </w:r>
      <w:r w:rsidR="008306C8" w:rsidRPr="00721A8D">
        <w:rPr>
          <w:rFonts w:ascii="Times New Roman" w:hAnsi="Times New Roman"/>
          <w:sz w:val="24"/>
          <w:szCs w:val="24"/>
        </w:rPr>
        <w:t xml:space="preserve">shall </w:t>
      </w:r>
      <w:r w:rsidR="00CA2597" w:rsidRPr="00721A8D">
        <w:rPr>
          <w:rFonts w:ascii="Times New Roman" w:hAnsi="Times New Roman"/>
          <w:sz w:val="24"/>
          <w:szCs w:val="24"/>
        </w:rPr>
        <w:t xml:space="preserve">provide </w:t>
      </w:r>
      <w:r w:rsidR="00B625E2" w:rsidRPr="00721A8D">
        <w:rPr>
          <w:rFonts w:ascii="Times New Roman" w:hAnsi="Times New Roman"/>
          <w:sz w:val="24"/>
          <w:szCs w:val="24"/>
        </w:rPr>
        <w:t>an action</w:t>
      </w:r>
      <w:r w:rsidR="00326B73" w:rsidRPr="00721A8D">
        <w:rPr>
          <w:rFonts w:ascii="Times New Roman" w:hAnsi="Times New Roman"/>
          <w:sz w:val="24"/>
          <w:szCs w:val="24"/>
        </w:rPr>
        <w:t xml:space="preserve"> plan to be distributed to the </w:t>
      </w:r>
      <w:r w:rsidR="00CD20D2" w:rsidRPr="00721A8D">
        <w:rPr>
          <w:rFonts w:ascii="Times New Roman" w:hAnsi="Times New Roman"/>
          <w:sz w:val="24"/>
          <w:szCs w:val="24"/>
        </w:rPr>
        <w:t>ECC</w:t>
      </w:r>
      <w:r w:rsidR="00B625E2" w:rsidRPr="00721A8D">
        <w:rPr>
          <w:rFonts w:ascii="Times New Roman" w:hAnsi="Times New Roman"/>
          <w:sz w:val="24"/>
          <w:szCs w:val="24"/>
        </w:rPr>
        <w:t>.</w:t>
      </w:r>
      <w:r w:rsidR="00CA2597" w:rsidRPr="00721A8D">
        <w:rPr>
          <w:rFonts w:ascii="Times New Roman" w:hAnsi="Times New Roman"/>
          <w:sz w:val="24"/>
          <w:szCs w:val="24"/>
        </w:rPr>
        <w:t xml:space="preserve"> </w:t>
      </w:r>
      <w:r w:rsidR="00326B73" w:rsidRPr="00721A8D">
        <w:rPr>
          <w:rFonts w:ascii="Times New Roman" w:hAnsi="Times New Roman"/>
          <w:sz w:val="24"/>
          <w:szCs w:val="24"/>
        </w:rPr>
        <w:t>A</w:t>
      </w:r>
      <w:r w:rsidR="008306C8" w:rsidRPr="00721A8D">
        <w:rPr>
          <w:rFonts w:ascii="Times New Roman" w:hAnsi="Times New Roman"/>
          <w:sz w:val="24"/>
          <w:szCs w:val="24"/>
        </w:rPr>
        <w:t xml:space="preserve"> copy of the </w:t>
      </w:r>
      <w:r w:rsidR="00326B73" w:rsidRPr="00721A8D">
        <w:rPr>
          <w:rFonts w:ascii="Times New Roman" w:hAnsi="Times New Roman"/>
          <w:sz w:val="24"/>
          <w:szCs w:val="24"/>
        </w:rPr>
        <w:t xml:space="preserve">action plan </w:t>
      </w:r>
      <w:r w:rsidR="008306C8" w:rsidRPr="00721A8D">
        <w:rPr>
          <w:rFonts w:ascii="Times New Roman" w:hAnsi="Times New Roman"/>
          <w:sz w:val="24"/>
          <w:szCs w:val="24"/>
        </w:rPr>
        <w:t>will also be maintained by the ECO in accordance with federal record-keeping requirements.</w:t>
      </w:r>
    </w:p>
    <w:p w14:paraId="434337E2" w14:textId="77777777" w:rsidR="000C6B45" w:rsidRDefault="000C6B45" w:rsidP="008B5721">
      <w:pPr>
        <w:spacing w:after="120" w:line="240" w:lineRule="auto"/>
        <w:jc w:val="both"/>
      </w:pPr>
    </w:p>
    <w:p w14:paraId="04C3B052" w14:textId="232F97D7" w:rsidR="000C6B45" w:rsidRPr="008B5721" w:rsidRDefault="000C6B45" w:rsidP="008B5721">
      <w:pPr>
        <w:spacing w:after="120" w:line="240" w:lineRule="auto"/>
        <w:jc w:val="both"/>
        <w:rPr>
          <w:rFonts w:ascii="Times New Roman" w:hAnsi="Times New Roman"/>
          <w:sz w:val="24"/>
          <w:szCs w:val="24"/>
        </w:rPr>
      </w:pPr>
      <w:r>
        <w:rPr>
          <w:rFonts w:ascii="Times New Roman" w:hAnsi="Times New Roman"/>
          <w:sz w:val="24"/>
          <w:szCs w:val="24"/>
        </w:rPr>
        <w:t xml:space="preserve">Dated: </w:t>
      </w:r>
      <w:r w:rsidR="008B5721">
        <w:rPr>
          <w:rFonts w:ascii="Times New Roman" w:hAnsi="Times New Roman"/>
          <w:sz w:val="24"/>
          <w:szCs w:val="24"/>
        </w:rPr>
        <w:t>July</w:t>
      </w:r>
      <w:r>
        <w:rPr>
          <w:rFonts w:ascii="Times New Roman" w:hAnsi="Times New Roman"/>
          <w:sz w:val="24"/>
          <w:szCs w:val="24"/>
        </w:rPr>
        <w:t xml:space="preserve"> </w:t>
      </w:r>
      <w:r w:rsidR="008B5721">
        <w:rPr>
          <w:rFonts w:ascii="Times New Roman" w:hAnsi="Times New Roman"/>
          <w:sz w:val="24"/>
          <w:szCs w:val="24"/>
        </w:rPr>
        <w:t>24, 2017</w:t>
      </w:r>
    </w:p>
    <w:p w14:paraId="50E3857C" w14:textId="4384C62E" w:rsidR="000C6B45" w:rsidRDefault="000C6B45" w:rsidP="000C6B45"/>
    <w:p w14:paraId="57B3AE46" w14:textId="23318BEC" w:rsidR="006B75D5" w:rsidRPr="000C6B45" w:rsidRDefault="000C6B45" w:rsidP="008B5721">
      <w:pPr>
        <w:tabs>
          <w:tab w:val="left" w:pos="1410"/>
        </w:tabs>
      </w:pPr>
      <w:r>
        <w:tab/>
      </w:r>
    </w:p>
    <w:sectPr w:rsidR="006B75D5" w:rsidRPr="000C6B45" w:rsidSect="008B5721">
      <w:footerReference w:type="default" r:id="rId7"/>
      <w:headerReference w:type="first" r:id="rId8"/>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09F39" w14:textId="77777777" w:rsidR="008D4D63" w:rsidRDefault="008D4D63" w:rsidP="008D4D63">
      <w:pPr>
        <w:spacing w:after="0" w:line="240" w:lineRule="auto"/>
      </w:pPr>
      <w:r>
        <w:separator/>
      </w:r>
    </w:p>
  </w:endnote>
  <w:endnote w:type="continuationSeparator" w:id="0">
    <w:p w14:paraId="093A5C10" w14:textId="77777777" w:rsidR="008D4D63" w:rsidRDefault="008D4D63" w:rsidP="008D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8CF65" w14:textId="35A1506C" w:rsidR="005145AB" w:rsidRPr="00563CB2" w:rsidRDefault="00563CB2" w:rsidP="00563CB2">
    <w:pPr>
      <w:pStyle w:val="Footer"/>
    </w:pPr>
    <w:r w:rsidRPr="00563CB2">
      <w:rPr>
        <w:noProof/>
        <w:sz w:val="12"/>
      </w:rPr>
      <w:t>{W0058914.1}</w:t>
    </w:r>
    <w:r>
      <w:tab/>
    </w:r>
    <w:sdt>
      <w:sdtPr>
        <w:rPr>
          <w:rFonts w:ascii="Times New Roman" w:hAnsi="Times New Roman"/>
        </w:rPr>
        <w:id w:val="392928816"/>
        <w:docPartObj>
          <w:docPartGallery w:val="Page Numbers (Bottom of Page)"/>
          <w:docPartUnique/>
        </w:docPartObj>
      </w:sdtPr>
      <w:sdtEndPr>
        <w:rPr>
          <w:rFonts w:asciiTheme="minorHAnsi" w:hAnsiTheme="minorHAnsi"/>
          <w:noProof/>
        </w:rPr>
      </w:sdtEndPr>
      <w:sdtContent>
        <w:r w:rsidR="005145AB" w:rsidRPr="009A4977">
          <w:rPr>
            <w:rFonts w:ascii="Times New Roman" w:hAnsi="Times New Roman"/>
          </w:rPr>
          <w:fldChar w:fldCharType="begin"/>
        </w:r>
        <w:r w:rsidR="005145AB" w:rsidRPr="009A4977">
          <w:rPr>
            <w:rFonts w:ascii="Times New Roman" w:hAnsi="Times New Roman"/>
          </w:rPr>
          <w:instrText xml:space="preserve"> PAGE   \* MERGEFORMAT </w:instrText>
        </w:r>
        <w:r w:rsidR="005145AB" w:rsidRPr="009A4977">
          <w:rPr>
            <w:rFonts w:ascii="Times New Roman" w:hAnsi="Times New Roman"/>
          </w:rPr>
          <w:fldChar w:fldCharType="separate"/>
        </w:r>
        <w:r w:rsidR="00FC1BA7">
          <w:rPr>
            <w:rFonts w:ascii="Times New Roman" w:hAnsi="Times New Roman"/>
            <w:noProof/>
          </w:rPr>
          <w:t>2</w:t>
        </w:r>
        <w:r w:rsidR="005145AB" w:rsidRPr="009A4977">
          <w:rPr>
            <w:rFonts w:ascii="Times New Roman" w:hAnsi="Times New Roman"/>
            <w:noProof/>
          </w:rPr>
          <w:fldChar w:fldCharType="end"/>
        </w:r>
      </w:sdtContent>
    </w:sdt>
  </w:p>
  <w:p w14:paraId="45E93C1E" w14:textId="77777777" w:rsidR="008D4D63" w:rsidRPr="00563CB2" w:rsidRDefault="008D4D63" w:rsidP="008D4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A0F4E" w14:textId="77777777" w:rsidR="008D4D63" w:rsidRDefault="008D4D63" w:rsidP="008D4D63">
      <w:pPr>
        <w:spacing w:after="0" w:line="240" w:lineRule="auto"/>
      </w:pPr>
      <w:r>
        <w:separator/>
      </w:r>
    </w:p>
  </w:footnote>
  <w:footnote w:type="continuationSeparator" w:id="0">
    <w:p w14:paraId="773817BA" w14:textId="77777777" w:rsidR="008D4D63" w:rsidRDefault="008D4D63" w:rsidP="008D4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14001" w14:textId="77777777" w:rsidR="000C6B45" w:rsidRPr="00DC2F89" w:rsidRDefault="000C6B45" w:rsidP="000C6B45">
    <w:pPr>
      <w:kinsoku w:val="0"/>
      <w:overflowPunct w:val="0"/>
      <w:autoSpaceDE w:val="0"/>
      <w:autoSpaceDN w:val="0"/>
      <w:adjustRightInd w:val="0"/>
      <w:spacing w:before="83" w:after="0" w:line="240" w:lineRule="auto"/>
      <w:ind w:left="118"/>
      <w:rPr>
        <w:rFonts w:ascii="Times New Roman" w:hAnsi="Times New Roman"/>
        <w:sz w:val="20"/>
        <w:szCs w:val="20"/>
      </w:rPr>
    </w:pPr>
    <w:r w:rsidRPr="00DC2F89">
      <w:rPr>
        <w:rFonts w:ascii="Times New Roman" w:hAnsi="Times New Roman"/>
        <w:noProof/>
        <w:sz w:val="24"/>
        <w:szCs w:val="24"/>
      </w:rPr>
      <w:drawing>
        <wp:inline distT="0" distB="0" distL="0" distR="0" wp14:anchorId="2012E0C2" wp14:editId="0F454833">
          <wp:extent cx="2023584" cy="308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47" cy="334737"/>
                  </a:xfrm>
                  <a:prstGeom prst="rect">
                    <a:avLst/>
                  </a:prstGeom>
                  <a:noFill/>
                  <a:ln>
                    <a:noFill/>
                  </a:ln>
                </pic:spPr>
              </pic:pic>
            </a:graphicData>
          </a:graphic>
        </wp:inline>
      </w:drawing>
    </w:r>
  </w:p>
  <w:p w14:paraId="33215050" w14:textId="77777777" w:rsidR="000C6B45" w:rsidRPr="00DC2F89" w:rsidRDefault="000C6B45" w:rsidP="000C6B45">
    <w:pPr>
      <w:kinsoku w:val="0"/>
      <w:overflowPunct w:val="0"/>
      <w:autoSpaceDE w:val="0"/>
      <w:autoSpaceDN w:val="0"/>
      <w:adjustRightInd w:val="0"/>
      <w:spacing w:after="0" w:line="180" w:lineRule="exact"/>
      <w:ind w:left="741"/>
      <w:rPr>
        <w:rFonts w:ascii="Arial" w:hAnsi="Arial" w:cs="Arial"/>
        <w:color w:val="000000"/>
        <w:sz w:val="18"/>
        <w:szCs w:val="18"/>
      </w:rPr>
    </w:pPr>
    <w:r w:rsidRPr="00DC2F89">
      <w:rPr>
        <w:rFonts w:ascii="Arial" w:hAnsi="Arial" w:cs="Arial"/>
        <w:color w:val="00447C"/>
        <w:w w:val="90"/>
        <w:sz w:val="18"/>
        <w:szCs w:val="18"/>
      </w:rPr>
      <w:t>EXPO</w:t>
    </w:r>
    <w:r w:rsidRPr="00DC2F89">
      <w:rPr>
        <w:rFonts w:ascii="Arial" w:hAnsi="Arial" w:cs="Arial"/>
        <w:color w:val="00447C"/>
        <w:spacing w:val="1"/>
        <w:w w:val="90"/>
        <w:sz w:val="18"/>
        <w:szCs w:val="18"/>
      </w:rPr>
      <w:t>R</w:t>
    </w:r>
    <w:r w:rsidRPr="00DC2F89">
      <w:rPr>
        <w:rFonts w:ascii="Arial" w:hAnsi="Arial" w:cs="Arial"/>
        <w:color w:val="00447C"/>
        <w:w w:val="90"/>
        <w:sz w:val="18"/>
        <w:szCs w:val="18"/>
      </w:rPr>
      <w:t>T</w:t>
    </w:r>
    <w:r w:rsidRPr="00DC2F89">
      <w:rPr>
        <w:rFonts w:ascii="Arial" w:hAnsi="Arial" w:cs="Arial"/>
        <w:color w:val="00447C"/>
        <w:spacing w:val="31"/>
        <w:w w:val="90"/>
        <w:sz w:val="18"/>
        <w:szCs w:val="18"/>
      </w:rPr>
      <w:t xml:space="preserve"> </w:t>
    </w:r>
    <w:r w:rsidRPr="00DC2F89">
      <w:rPr>
        <w:rFonts w:ascii="Arial" w:hAnsi="Arial" w:cs="Arial"/>
        <w:color w:val="00447C"/>
        <w:w w:val="90"/>
        <w:sz w:val="18"/>
        <w:szCs w:val="18"/>
      </w:rPr>
      <w:t>CONTROL</w:t>
    </w:r>
    <w:r w:rsidRPr="00DC2F89">
      <w:rPr>
        <w:rFonts w:ascii="Arial" w:hAnsi="Arial" w:cs="Arial"/>
        <w:color w:val="00447C"/>
        <w:spacing w:val="32"/>
        <w:w w:val="90"/>
        <w:sz w:val="18"/>
        <w:szCs w:val="18"/>
      </w:rPr>
      <w:t xml:space="preserve"> </w:t>
    </w:r>
    <w:r w:rsidRPr="00DC2F89">
      <w:rPr>
        <w:rFonts w:ascii="Arial" w:hAnsi="Arial" w:cs="Arial"/>
        <w:color w:val="00447C"/>
        <w:w w:val="90"/>
        <w:sz w:val="18"/>
        <w:szCs w:val="18"/>
      </w:rPr>
      <w:t>OFFICE</w:t>
    </w:r>
  </w:p>
  <w:p w14:paraId="4EFECDA3" w14:textId="77777777" w:rsidR="000C6B45" w:rsidRDefault="000C6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9E0B3F"/>
    <w:multiLevelType w:val="hybridMultilevel"/>
    <w:tmpl w:val="B7806E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156507"/>
    <w:multiLevelType w:val="hybridMultilevel"/>
    <w:tmpl w:val="FEE8CE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E72A77"/>
    <w:multiLevelType w:val="hybridMultilevel"/>
    <w:tmpl w:val="88CECB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F7012E2"/>
    <w:multiLevelType w:val="hybridMultilevel"/>
    <w:tmpl w:val="32125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067F40"/>
    <w:multiLevelType w:val="hybridMultilevel"/>
    <w:tmpl w:val="7DA2171E"/>
    <w:lvl w:ilvl="0" w:tplc="5A062EE0">
      <w:start w:val="1"/>
      <w:numFmt w:val="upperRoman"/>
      <w:lvlText w:val="%1."/>
      <w:lvlJc w:val="left"/>
      <w:pPr>
        <w:ind w:left="1080" w:hanging="720"/>
      </w:pPr>
      <w:rPr>
        <w:rFonts w:ascii="Times New Roman" w:hAnsi="Times New Roman" w:cs="Times New Roman" w:hint="default"/>
        <w:b/>
        <w:sz w:val="24"/>
        <w:szCs w:val="24"/>
      </w:rPr>
    </w:lvl>
    <w:lvl w:ilvl="1" w:tplc="9BA0E5E6">
      <w:start w:val="1"/>
      <w:numFmt w:val="lowerLetter"/>
      <w:lvlText w:val="%2."/>
      <w:lvlJc w:val="left"/>
      <w:pPr>
        <w:ind w:left="1440" w:hanging="360"/>
      </w:pPr>
      <w:rPr>
        <w:rFonts w:ascii="Times New Roman" w:hAnsi="Times New Roman" w:cs="Times New Roman" w:hint="default"/>
        <w:b w:val="0"/>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24638BC"/>
    <w:multiLevelType w:val="hybridMultilevel"/>
    <w:tmpl w:val="131EF69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BD57455"/>
    <w:multiLevelType w:val="hybridMultilevel"/>
    <w:tmpl w:val="490A84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D808B5"/>
    <w:multiLevelType w:val="hybridMultilevel"/>
    <w:tmpl w:val="8DA8EC58"/>
    <w:lvl w:ilvl="0" w:tplc="D5641862">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55687F"/>
    <w:multiLevelType w:val="hybridMultilevel"/>
    <w:tmpl w:val="3DE28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1536E1"/>
    <w:multiLevelType w:val="hybridMultilevel"/>
    <w:tmpl w:val="0B40D3CA"/>
    <w:lvl w:ilvl="0" w:tplc="04090019">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371706F"/>
    <w:multiLevelType w:val="hybridMultilevel"/>
    <w:tmpl w:val="52BC80E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E2C4283"/>
    <w:multiLevelType w:val="hybridMultilevel"/>
    <w:tmpl w:val="C8785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2"/>
  </w:num>
  <w:num w:numId="4">
    <w:abstractNumId w:val="8"/>
  </w:num>
  <w:num w:numId="5">
    <w:abstractNumId w:val="4"/>
  </w:num>
  <w:num w:numId="6">
    <w:abstractNumId w:val="9"/>
  </w:num>
  <w:num w:numId="7">
    <w:abstractNumId w:val="10"/>
  </w:num>
  <w:num w:numId="8">
    <w:abstractNumId w:val="1"/>
  </w:num>
  <w:num w:numId="9">
    <w:abstractNumId w:val="7"/>
  </w:num>
  <w:num w:numId="10">
    <w:abstractNumId w:val="6"/>
  </w:num>
  <w:num w:numId="11">
    <w:abstractNumId w:val="11"/>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C8"/>
    <w:rsid w:val="000C6B45"/>
    <w:rsid w:val="00103E85"/>
    <w:rsid w:val="0021614B"/>
    <w:rsid w:val="002428C8"/>
    <w:rsid w:val="002A206B"/>
    <w:rsid w:val="00326B73"/>
    <w:rsid w:val="0033387E"/>
    <w:rsid w:val="00382D87"/>
    <w:rsid w:val="004076F9"/>
    <w:rsid w:val="00435DFB"/>
    <w:rsid w:val="004420C5"/>
    <w:rsid w:val="004436FD"/>
    <w:rsid w:val="00482DFC"/>
    <w:rsid w:val="005145AB"/>
    <w:rsid w:val="00533F9C"/>
    <w:rsid w:val="00563CB2"/>
    <w:rsid w:val="005C2A93"/>
    <w:rsid w:val="006B75D5"/>
    <w:rsid w:val="006D0E23"/>
    <w:rsid w:val="00721A8D"/>
    <w:rsid w:val="00742B1D"/>
    <w:rsid w:val="007D6126"/>
    <w:rsid w:val="008306C8"/>
    <w:rsid w:val="0089748A"/>
    <w:rsid w:val="008B5721"/>
    <w:rsid w:val="008D4D63"/>
    <w:rsid w:val="00946F18"/>
    <w:rsid w:val="009A4977"/>
    <w:rsid w:val="009D2254"/>
    <w:rsid w:val="009E7800"/>
    <w:rsid w:val="00A50457"/>
    <w:rsid w:val="00AF14E6"/>
    <w:rsid w:val="00B01120"/>
    <w:rsid w:val="00B12EAB"/>
    <w:rsid w:val="00B20E63"/>
    <w:rsid w:val="00B625E2"/>
    <w:rsid w:val="00B9169D"/>
    <w:rsid w:val="00BD2031"/>
    <w:rsid w:val="00BF4800"/>
    <w:rsid w:val="00CA2597"/>
    <w:rsid w:val="00CD20D2"/>
    <w:rsid w:val="00EF5AD5"/>
    <w:rsid w:val="00FC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712505"/>
  <w14:defaultImageDpi w14:val="96"/>
  <w15:docId w15:val="{270F4986-EC6B-4AD8-A5C0-2E41267E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8">
    <w:name w:val="CM18"/>
    <w:basedOn w:val="Default"/>
    <w:next w:val="Default"/>
    <w:uiPriority w:val="99"/>
    <w:rPr>
      <w:color w:val="auto"/>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uiPriority w:val="99"/>
    <w:pPr>
      <w:spacing w:line="278" w:lineRule="atLeast"/>
    </w:pPr>
    <w:rPr>
      <w:color w:val="auto"/>
    </w:rPr>
  </w:style>
  <w:style w:type="paragraph" w:customStyle="1" w:styleId="CM3">
    <w:name w:val="CM3"/>
    <w:basedOn w:val="Default"/>
    <w:next w:val="Default"/>
    <w:uiPriority w:val="99"/>
    <w:pPr>
      <w:spacing w:line="278" w:lineRule="atLeast"/>
    </w:pPr>
    <w:rPr>
      <w:color w:val="auto"/>
    </w:rPr>
  </w:style>
  <w:style w:type="paragraph" w:customStyle="1" w:styleId="CM19">
    <w:name w:val="CM19"/>
    <w:basedOn w:val="Default"/>
    <w:next w:val="Default"/>
    <w:uiPriority w:val="99"/>
    <w:rPr>
      <w:color w:val="auto"/>
    </w:rPr>
  </w:style>
  <w:style w:type="paragraph" w:customStyle="1" w:styleId="CM4">
    <w:name w:val="CM4"/>
    <w:basedOn w:val="Default"/>
    <w:next w:val="Default"/>
    <w:uiPriority w:val="99"/>
    <w:pPr>
      <w:spacing w:line="318" w:lineRule="atLeast"/>
    </w:pPr>
    <w:rPr>
      <w:color w:val="auto"/>
    </w:rPr>
  </w:style>
  <w:style w:type="paragraph" w:customStyle="1" w:styleId="CM5">
    <w:name w:val="CM5"/>
    <w:basedOn w:val="Default"/>
    <w:next w:val="Default"/>
    <w:uiPriority w:val="99"/>
    <w:pPr>
      <w:spacing w:line="280"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pPr>
      <w:spacing w:line="280" w:lineRule="atLeast"/>
    </w:pPr>
    <w:rPr>
      <w:color w:val="auto"/>
    </w:rPr>
  </w:style>
  <w:style w:type="paragraph" w:customStyle="1" w:styleId="CM12">
    <w:name w:val="CM12"/>
    <w:basedOn w:val="Default"/>
    <w:next w:val="Default"/>
    <w:uiPriority w:val="99"/>
    <w:pPr>
      <w:spacing w:line="278" w:lineRule="atLeast"/>
    </w:pPr>
    <w:rPr>
      <w:color w:val="auto"/>
    </w:rPr>
  </w:style>
  <w:style w:type="paragraph" w:customStyle="1" w:styleId="CM13">
    <w:name w:val="CM13"/>
    <w:basedOn w:val="Default"/>
    <w:next w:val="Default"/>
    <w:uiPriority w:val="99"/>
    <w:pPr>
      <w:spacing w:line="286" w:lineRule="atLeast"/>
    </w:pPr>
    <w:rPr>
      <w:color w:val="auto"/>
    </w:rPr>
  </w:style>
  <w:style w:type="paragraph" w:customStyle="1" w:styleId="CM14">
    <w:name w:val="CM14"/>
    <w:basedOn w:val="Default"/>
    <w:next w:val="Default"/>
    <w:uiPriority w:val="99"/>
    <w:pPr>
      <w:spacing w:line="280" w:lineRule="atLeast"/>
    </w:pPr>
    <w:rPr>
      <w:color w:val="auto"/>
    </w:rPr>
  </w:style>
  <w:style w:type="paragraph" w:customStyle="1" w:styleId="CM15">
    <w:name w:val="CM15"/>
    <w:basedOn w:val="Default"/>
    <w:next w:val="Default"/>
    <w:uiPriority w:val="99"/>
    <w:pPr>
      <w:spacing w:line="278" w:lineRule="atLeast"/>
    </w:pPr>
    <w:rPr>
      <w:color w:val="auto"/>
    </w:rPr>
  </w:style>
  <w:style w:type="paragraph" w:customStyle="1" w:styleId="CM17">
    <w:name w:val="CM17"/>
    <w:basedOn w:val="Default"/>
    <w:next w:val="Default"/>
    <w:uiPriority w:val="99"/>
    <w:pPr>
      <w:spacing w:line="276" w:lineRule="atLeast"/>
    </w:pPr>
    <w:rPr>
      <w:color w:val="auto"/>
    </w:rPr>
  </w:style>
  <w:style w:type="paragraph" w:styleId="ListParagraph">
    <w:name w:val="List Paragraph"/>
    <w:basedOn w:val="Normal"/>
    <w:uiPriority w:val="1"/>
    <w:qFormat/>
    <w:rsid w:val="008306C8"/>
    <w:pPr>
      <w:spacing w:after="160" w:line="259" w:lineRule="auto"/>
      <w:ind w:left="720"/>
      <w:contextualSpacing/>
    </w:pPr>
  </w:style>
  <w:style w:type="character" w:styleId="CommentReference">
    <w:name w:val="annotation reference"/>
    <w:basedOn w:val="DefaultParagraphFont"/>
    <w:uiPriority w:val="99"/>
    <w:semiHidden/>
    <w:unhideWhenUsed/>
    <w:rsid w:val="008306C8"/>
    <w:rPr>
      <w:rFonts w:cs="Times New Roman"/>
      <w:sz w:val="16"/>
    </w:rPr>
  </w:style>
  <w:style w:type="paragraph" w:styleId="CommentText">
    <w:name w:val="annotation text"/>
    <w:basedOn w:val="Normal"/>
    <w:link w:val="CommentTextChar"/>
    <w:uiPriority w:val="99"/>
    <w:semiHidden/>
    <w:unhideWhenUsed/>
    <w:rsid w:val="008306C8"/>
    <w:pPr>
      <w:spacing w:after="160" w:line="240" w:lineRule="auto"/>
    </w:pPr>
    <w:rPr>
      <w:sz w:val="20"/>
      <w:szCs w:val="20"/>
    </w:rPr>
  </w:style>
  <w:style w:type="character" w:customStyle="1" w:styleId="CommentTextChar">
    <w:name w:val="Comment Text Char"/>
    <w:basedOn w:val="DefaultParagraphFont"/>
    <w:link w:val="CommentText"/>
    <w:uiPriority w:val="99"/>
    <w:semiHidden/>
    <w:locked/>
    <w:rsid w:val="008306C8"/>
    <w:rPr>
      <w:rFonts w:eastAsia="Times New Roman" w:cs="Times New Roman"/>
      <w:sz w:val="20"/>
      <w:szCs w:val="20"/>
    </w:rPr>
  </w:style>
  <w:style w:type="character" w:styleId="Hyperlink">
    <w:name w:val="Hyperlink"/>
    <w:basedOn w:val="DefaultParagraphFont"/>
    <w:uiPriority w:val="99"/>
    <w:unhideWhenUsed/>
    <w:rsid w:val="008306C8"/>
    <w:rPr>
      <w:rFonts w:cs="Times New Roman"/>
      <w:color w:val="0563C1"/>
      <w:u w:val="single"/>
    </w:rPr>
  </w:style>
  <w:style w:type="paragraph" w:styleId="BalloonText">
    <w:name w:val="Balloon Text"/>
    <w:basedOn w:val="Normal"/>
    <w:link w:val="BalloonTextChar"/>
    <w:uiPriority w:val="99"/>
    <w:semiHidden/>
    <w:unhideWhenUsed/>
    <w:rsid w:val="0083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06C8"/>
    <w:rPr>
      <w:rFonts w:ascii="Tahoma" w:hAnsi="Tahoma" w:cs="Tahoma"/>
      <w:sz w:val="16"/>
      <w:szCs w:val="16"/>
    </w:rPr>
  </w:style>
  <w:style w:type="paragraph" w:styleId="Header">
    <w:name w:val="header"/>
    <w:basedOn w:val="Normal"/>
    <w:link w:val="HeaderChar"/>
    <w:uiPriority w:val="99"/>
    <w:rsid w:val="008D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63"/>
  </w:style>
  <w:style w:type="paragraph" w:styleId="Footer">
    <w:name w:val="footer"/>
    <w:basedOn w:val="Normal"/>
    <w:link w:val="FooterChar"/>
    <w:uiPriority w:val="99"/>
    <w:rsid w:val="008D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63"/>
  </w:style>
  <w:style w:type="paragraph" w:styleId="CommentSubject">
    <w:name w:val="annotation subject"/>
    <w:basedOn w:val="CommentText"/>
    <w:next w:val="CommentText"/>
    <w:link w:val="CommentSubjectChar"/>
    <w:uiPriority w:val="99"/>
    <w:rsid w:val="005145AB"/>
    <w:pPr>
      <w:spacing w:after="200"/>
    </w:pPr>
    <w:rPr>
      <w:b/>
      <w:bCs/>
    </w:rPr>
  </w:style>
  <w:style w:type="character" w:customStyle="1" w:styleId="CommentSubjectChar">
    <w:name w:val="Comment Subject Char"/>
    <w:basedOn w:val="CommentTextChar"/>
    <w:link w:val="CommentSubject"/>
    <w:uiPriority w:val="99"/>
    <w:rsid w:val="005145AB"/>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2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3552</Characters>
  <Application>Microsoft Office Word</Application>
  <DocSecurity>0</DocSecurity>
  <PresentationFormat/>
  <Lines>29</Lines>
  <Paragraphs>8</Paragraphs>
  <ScaleCrop>false</ScaleCrop>
  <HeadingPairs>
    <vt:vector size="2" baseType="variant">
      <vt:variant>
        <vt:lpstr>Title</vt:lpstr>
      </vt:variant>
      <vt:variant>
        <vt:i4>1</vt:i4>
      </vt:variant>
    </vt:vector>
  </HeadingPairs>
  <TitlesOfParts>
    <vt:vector size="1" baseType="lpstr">
      <vt:lpstr>ECC-Guidelines-5 1 17 - MAI Comments 5.3.17  (W0058914.DOCX;1)</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ECC-Guidelines-5 1 17 - MAI Comments 5.3.17  (W0058914.DOCX;1)</dc:title>
  <dc:subject>W0058914.1/font=6</dc:subject>
  <dc:creator>Export Control</dc:creator>
  <cp:keywords/>
  <dc:description/>
  <cp:lastModifiedBy>Patricia Powers </cp:lastModifiedBy>
  <cp:revision>3</cp:revision>
  <cp:lastPrinted>2017-05-19T19:49:00Z</cp:lastPrinted>
  <dcterms:created xsi:type="dcterms:W3CDTF">2017-07-24T12:25:00Z</dcterms:created>
  <dcterms:modified xsi:type="dcterms:W3CDTF">2017-07-24T12:32:00Z</dcterms:modified>
</cp:coreProperties>
</file>